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 Wrocławiu</w:t>
      </w:r>
      <w:r w:rsidR="00AC7935">
        <w:rPr>
          <w:rFonts w:ascii="Times New Roman" w:hAnsi="Times New Roman"/>
          <w:b/>
          <w:sz w:val="22"/>
          <w:szCs w:val="22"/>
        </w:rPr>
        <w:t xml:space="preserve"> oddział terenowy w </w:t>
      </w:r>
      <w:r w:rsidR="00E47369">
        <w:rPr>
          <w:rFonts w:ascii="Times New Roman" w:hAnsi="Times New Roman"/>
          <w:b/>
          <w:sz w:val="22"/>
          <w:szCs w:val="22"/>
        </w:rPr>
        <w:t>Jeleniej Górze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E47369" w:rsidRPr="00E47369">
        <w:rPr>
          <w:rFonts w:ascii="Times New Roman" w:hAnsi="Times New Roman"/>
          <w:b/>
          <w:sz w:val="22"/>
          <w:szCs w:val="22"/>
        </w:rPr>
        <w:t>WAT.272.2.021.087.2019.OP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bookmarkStart w:id="3" w:name="_Toc270921042"/>
    </w:p>
    <w:p w:rsidR="00AC7935" w:rsidRPr="002D059C" w:rsidRDefault="00AD040F" w:rsidP="00AD040F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Przedmiotem zamówienia jest serwis i naprawa samochodów służbowych Wojewódzkiego Inspektoratu Transportu Drogowego we Wrocławiu oddział terenowy w </w:t>
      </w:r>
      <w:r w:rsidR="00E47369" w:rsidRPr="002D059C">
        <w:rPr>
          <w:rFonts w:ascii="Times New Roman" w:hAnsi="Times New Roman"/>
          <w:b/>
          <w:sz w:val="24"/>
          <w:szCs w:val="24"/>
        </w:rPr>
        <w:t>Jeleniej Górze</w:t>
      </w:r>
      <w:r w:rsidR="00AC7935" w:rsidRPr="002D059C">
        <w:rPr>
          <w:rFonts w:ascii="Times New Roman" w:hAnsi="Times New Roman"/>
          <w:b/>
          <w:sz w:val="24"/>
          <w:szCs w:val="24"/>
        </w:rPr>
        <w:t>.</w:t>
      </w:r>
    </w:p>
    <w:p w:rsidR="00AD040F" w:rsidRPr="00DB4BB3" w:rsidRDefault="00AD040F" w:rsidP="00AD04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 wykonywać będzie 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najdalej w odległości </w:t>
      </w:r>
      <w:r w:rsidR="00E47369" w:rsidRPr="002D059C">
        <w:rPr>
          <w:rFonts w:ascii="Times New Roman" w:hAnsi="Times New Roman"/>
          <w:b/>
          <w:sz w:val="22"/>
          <w:szCs w:val="22"/>
        </w:rPr>
        <w:t>do 10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</w:t>
      </w:r>
    </w:p>
    <w:p w:rsidR="00AD040F" w:rsidRDefault="00AD040F" w:rsidP="00AD04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 xml:space="preserve">licząc najkrótszą drogą do siedziby przy ul. </w:t>
      </w:r>
      <w:r w:rsidR="00E47369" w:rsidRPr="00DB4BB3">
        <w:rPr>
          <w:rFonts w:ascii="Times New Roman" w:hAnsi="Times New Roman"/>
          <w:sz w:val="22"/>
          <w:szCs w:val="22"/>
        </w:rPr>
        <w:t>Sudecka 2 w Jeleniej Górze</w:t>
      </w:r>
      <w:r w:rsidRPr="00DB4BB3">
        <w:rPr>
          <w:rFonts w:ascii="Times New Roman" w:hAnsi="Times New Roman"/>
          <w:sz w:val="22"/>
          <w:szCs w:val="22"/>
        </w:rPr>
        <w:t>.</w:t>
      </w:r>
    </w:p>
    <w:p w:rsidR="00AB6195" w:rsidRPr="00DB4BB3" w:rsidRDefault="00AB6195" w:rsidP="00AD04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A720D" w:rsidRPr="002D059C" w:rsidRDefault="00E47369" w:rsidP="007A54E8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szczegółowym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zabudowy przedziału biurowego wraz z dodatkową instalacja elektryczną,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 xml:space="preserve">2.2.2.1. Posiadać parametry zgodnie z Polską Normą, 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AC793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7A54E8" w:rsidRDefault="00AC7935" w:rsidP="00AC793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>50.11.20.00-3,</w:t>
      </w:r>
      <w:r w:rsidR="00182E50">
        <w:rPr>
          <w:rFonts w:ascii="Times New Roman" w:hAnsi="Times New Roman"/>
          <w:b/>
          <w:sz w:val="22"/>
          <w:szCs w:val="22"/>
        </w:rPr>
        <w:t xml:space="preserve"> </w:t>
      </w:r>
      <w:r w:rsidRPr="007A54E8">
        <w:rPr>
          <w:rFonts w:ascii="Times New Roman" w:hAnsi="Times New Roman"/>
          <w:b/>
          <w:sz w:val="22"/>
          <w:szCs w:val="22"/>
        </w:rPr>
        <w:t>50.11.40.00-7 – usługi w zakresie napraw i serwisowania samochodów.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w/w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wykonywane będą na zlecenie Zamawiającego według bieżących potrzeb.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w/w załączniku 2 prac należy wykonać również: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 ustawy z dnia 14 grudnia 2012r. o odpa</w:t>
      </w:r>
      <w:r w:rsidRPr="002D059C">
        <w:rPr>
          <w:rFonts w:ascii="Times New Roman" w:hAnsi="Times New Roman"/>
          <w:sz w:val="22"/>
          <w:szCs w:val="22"/>
        </w:rPr>
        <w:t>dach (</w:t>
      </w:r>
      <w:r w:rsidR="002D059C" w:rsidRPr="002D059C">
        <w:rPr>
          <w:rFonts w:ascii="Times New Roman" w:hAnsi="Times New Roman"/>
          <w:sz w:val="22"/>
          <w:szCs w:val="22"/>
        </w:rPr>
        <w:t>Dz.U. z 2018 r. poz. 1592</w:t>
      </w:r>
      <w:r w:rsidRPr="002D059C">
        <w:rPr>
          <w:rFonts w:ascii="Times New Roman" w:hAnsi="Times New Roman"/>
          <w:sz w:val="22"/>
          <w:szCs w:val="22"/>
        </w:rPr>
        <w:t xml:space="preserve">).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może powierzyć wykonanie części zamówienia (określonych prac bądź czynności podwykonawcom, jednakże w takim przypadku Zamawiający wymaga wskazania w ofercie tych prac lub czynności.     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4E1749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>Zamawiający 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4E1749" w:rsidRDefault="004E1749" w:rsidP="004E1749">
      <w:pPr>
        <w:spacing w:before="0" w:after="0"/>
        <w:jc w:val="both"/>
        <w:rPr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3</w:t>
      </w:r>
      <w:r w:rsidRPr="004E1749">
        <w:rPr>
          <w:rFonts w:ascii="Times New Roman" w:hAnsi="Times New Roman"/>
          <w:sz w:val="22"/>
          <w:szCs w:val="22"/>
        </w:rPr>
        <w:t>.2. Wykonawca, który planuje realizować zamówienie przy współpracy z podwykonawcami, zobowiązany jest do podania w druku oferty części zamówienia, jaki zamierza im powierzyć.</w:t>
      </w:r>
    </w:p>
    <w:p w:rsidR="00AB6195" w:rsidRPr="004E1749" w:rsidRDefault="00AB6195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4E1749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182E50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182E50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P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d) zmiany ustalonych podwykonawców w sytuacjach, gdy dotychczasowy po</w:t>
      </w:r>
      <w:r>
        <w:rPr>
          <w:rFonts w:ascii="Times New Roman" w:hAnsi="Times New Roman"/>
          <w:sz w:val="22"/>
          <w:szCs w:val="22"/>
        </w:rPr>
        <w:t xml:space="preserve">dwykonawca nie </w:t>
      </w:r>
      <w:r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>realizuje umowy w sposób należyty, bądź z przyczyn losowych nie może kontynuować prac,</w:t>
      </w:r>
    </w:p>
    <w:p w:rsid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e) zmiany wynagrodzenia w przypadku ograniczenia zakresu prac, użycia zamie</w:t>
      </w:r>
      <w:r>
        <w:rPr>
          <w:rFonts w:ascii="Times New Roman" w:hAnsi="Times New Roman"/>
          <w:sz w:val="22"/>
          <w:szCs w:val="22"/>
        </w:rPr>
        <w:t xml:space="preserve">nników części </w:t>
      </w:r>
      <w:r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2D059C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2D059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BA433E" w:rsidRPr="00AB6195" w:rsidRDefault="00BA433E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B6195">
        <w:rPr>
          <w:rFonts w:ascii="Times New Roman" w:hAnsi="Times New Roman"/>
          <w:b/>
          <w:sz w:val="22"/>
          <w:szCs w:val="22"/>
        </w:rPr>
        <w:t>5.1.4.Wykonawca nie może zlecać podwykonawcom napraw z zakresu serwisu mechanicznego oraz przeglądów okresowych z wymianą filtrów. Niniejsze prace mają być wykonywane w stacji obsługi głównego wykonawcy</w:t>
      </w:r>
      <w:r w:rsidRPr="00AB6195">
        <w:rPr>
          <w:b/>
          <w:snapToGrid w:val="0"/>
          <w:sz w:val="24"/>
          <w:szCs w:val="24"/>
        </w:rPr>
        <w:t>.</w:t>
      </w:r>
    </w:p>
    <w:p w:rsidR="004E1749" w:rsidRPr="004E1749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182E50">
        <w:rPr>
          <w:rFonts w:ascii="Times New Roman" w:hAnsi="Times New Roman"/>
          <w:sz w:val="22"/>
          <w:szCs w:val="22"/>
        </w:rPr>
        <w:t xml:space="preserve">o łącznej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Pr="002D059C">
        <w:rPr>
          <w:rFonts w:ascii="Times New Roman" w:hAnsi="Times New Roman"/>
          <w:b/>
          <w:sz w:val="22"/>
          <w:szCs w:val="22"/>
        </w:rPr>
        <w:t xml:space="preserve">70.000,00 PLN brutto </w:t>
      </w:r>
      <w:r w:rsidRPr="004E1749">
        <w:rPr>
          <w:rFonts w:ascii="Times New Roman" w:hAnsi="Times New Roman"/>
          <w:sz w:val="22"/>
          <w:szCs w:val="22"/>
        </w:rPr>
        <w:t>(słownie: siedemdzi</w:t>
      </w:r>
      <w:r w:rsidR="00182E50">
        <w:rPr>
          <w:rFonts w:ascii="Times New Roman" w:hAnsi="Times New Roman"/>
          <w:sz w:val="22"/>
          <w:szCs w:val="22"/>
        </w:rPr>
        <w:t xml:space="preserve">esiąt  tysięcy złotych) </w:t>
      </w:r>
      <w:r w:rsidRPr="004E1749">
        <w:rPr>
          <w:rFonts w:ascii="Times New Roman" w:hAnsi="Times New Roman"/>
          <w:sz w:val="22"/>
          <w:szCs w:val="22"/>
        </w:rPr>
        <w:t xml:space="preserve">w  tym z jednym kontrahentem na min. </w:t>
      </w:r>
      <w:r w:rsidRPr="002D059C">
        <w:rPr>
          <w:rFonts w:ascii="Times New Roman" w:hAnsi="Times New Roman"/>
          <w:b/>
          <w:sz w:val="22"/>
          <w:szCs w:val="22"/>
        </w:rPr>
        <w:t>50.000,00 PLN</w:t>
      </w:r>
      <w:r w:rsidRPr="004E1749">
        <w:rPr>
          <w:rFonts w:ascii="Times New Roman" w:hAnsi="Times New Roman"/>
          <w:sz w:val="22"/>
          <w:szCs w:val="22"/>
        </w:rPr>
        <w:t xml:space="preserve"> brutto (słownie: pięćdziesiąt tysięcy złotych).</w:t>
      </w:r>
    </w:p>
    <w:p w:rsidR="004E1749" w:rsidRPr="004E1749" w:rsidRDefault="00956D4D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Na potwierdzenie spełniania warunku dysponowania odpowiednim potencjałem technicznym Wykonawca winien wykazać, że dysponuje lub będzie dysponował niżej podanymi, w pełni sprawnymi, jednostkami podstawowych urządzeń technicznych (sprzętu) stanowiącymi wyposażenie zakładu/stacji obsługi </w:t>
      </w:r>
      <w:r w:rsidR="00F83AD4" w:rsidRPr="00F83AD4">
        <w:rPr>
          <w:rFonts w:ascii="Times New Roman" w:hAnsi="Times New Roman"/>
          <w:sz w:val="22"/>
          <w:szCs w:val="22"/>
        </w:rPr>
        <w:t xml:space="preserve">zlokalizowanego w odległości </w:t>
      </w:r>
      <w:r w:rsidR="00F83AD4" w:rsidRPr="002D059C">
        <w:rPr>
          <w:rFonts w:ascii="Times New Roman" w:hAnsi="Times New Roman"/>
          <w:b/>
          <w:sz w:val="22"/>
          <w:szCs w:val="22"/>
        </w:rPr>
        <w:t xml:space="preserve">do </w:t>
      </w:r>
      <w:r w:rsidR="002D059C" w:rsidRPr="002D059C">
        <w:rPr>
          <w:rFonts w:ascii="Times New Roman" w:hAnsi="Times New Roman"/>
          <w:b/>
          <w:sz w:val="22"/>
          <w:szCs w:val="22"/>
        </w:rPr>
        <w:t>2</w:t>
      </w:r>
      <w:r w:rsidR="00F83AD4" w:rsidRPr="002D059C">
        <w:rPr>
          <w:rFonts w:ascii="Times New Roman" w:hAnsi="Times New Roman"/>
          <w:b/>
          <w:sz w:val="22"/>
          <w:szCs w:val="22"/>
        </w:rPr>
        <w:t xml:space="preserve"> km </w:t>
      </w:r>
      <w:r w:rsidR="00F83AD4" w:rsidRPr="00F83AD4">
        <w:rPr>
          <w:rFonts w:ascii="Times New Roman" w:hAnsi="Times New Roman"/>
          <w:sz w:val="22"/>
          <w:szCs w:val="22"/>
        </w:rPr>
        <w:t>od zakładu naprawczego głównego wykonawcy</w:t>
      </w:r>
      <w:r w:rsidR="004E1749" w:rsidRPr="004E1749">
        <w:rPr>
          <w:rFonts w:ascii="Times New Roman" w:hAnsi="Times New Roman"/>
          <w:sz w:val="22"/>
          <w:szCs w:val="22"/>
        </w:rPr>
        <w:t>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701"/>
      </w:tblGrid>
      <w:tr w:rsidR="001D3564" w:rsidRPr="001D3564" w:rsidTr="00F83AD4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Minimalna wymagana liczba jednostek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 xml:space="preserve">Urządzenie diagnostyczne do sprawdzania układu hamulcowego, </w:t>
            </w:r>
          </w:p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kierowniczego, geometrii kół, oświetlenia oraz zawieszenia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wykonania diagnostyki komputerowej silnika</w:t>
            </w:r>
          </w:p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oraz układu elektronicznego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wymiany ogumienia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serwisu i naprawy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specyfikacji, będą dokumenty i oświadczenia wymagane w pkt</w:t>
      </w:r>
      <w:r>
        <w:rPr>
          <w:rFonts w:ascii="Times New Roman" w:hAnsi="Times New Roman"/>
          <w:sz w:val="22"/>
          <w:szCs w:val="22"/>
        </w:rPr>
        <w:t xml:space="preserve"> 6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specyfikacji, złożone </w:t>
      </w:r>
      <w:r w:rsidR="004E1749" w:rsidRPr="00182E50">
        <w:rPr>
          <w:rFonts w:ascii="Times New Roman" w:hAnsi="Times New Roman"/>
          <w:sz w:val="22"/>
          <w:szCs w:val="22"/>
        </w:rPr>
        <w:br/>
        <w:t>w trakcie postępowania, na zasadzie spełnia – nie spełnia.</w:t>
      </w:r>
      <w:r w:rsidR="001D3564">
        <w:rPr>
          <w:rFonts w:ascii="Times New Roman" w:hAnsi="Times New Roman"/>
          <w:sz w:val="22"/>
          <w:szCs w:val="22"/>
        </w:rPr>
        <w:t xml:space="preserve">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2D059C">
        <w:rPr>
          <w:rFonts w:ascii="Times New Roman" w:hAnsi="Times New Roman"/>
          <w:sz w:val="22"/>
          <w:szCs w:val="22"/>
        </w:rPr>
        <w:t>04.03.2022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E120BE">
        <w:rPr>
          <w:rFonts w:ascii="Times New Roman" w:hAnsi="Times New Roman"/>
          <w:sz w:val="22"/>
          <w:szCs w:val="22"/>
        </w:rPr>
        <w:t>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E120BE">
        <w:rPr>
          <w:rFonts w:ascii="Times New Roman" w:hAnsi="Times New Roman"/>
          <w:sz w:val="22"/>
          <w:szCs w:val="22"/>
        </w:rPr>
        <w:t>x-71/326-51-61, email:wat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2. Cenę oferty brutto podaje się w złotych polskich (PLN), niezależnie od wchodzących w jej skład elementów, wraz z właściwym podatkiem VAT z zaokrągleniem do jednego grosza, zgodnie z </w:t>
      </w:r>
      <w:r w:rsidRPr="0074604C">
        <w:rPr>
          <w:rFonts w:ascii="Times New Roman" w:hAnsi="Times New Roman"/>
          <w:sz w:val="22"/>
          <w:szCs w:val="22"/>
        </w:rPr>
        <w:lastRenderedPageBreak/>
        <w:t>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p w:rsidR="0074604C" w:rsidRPr="0074604C" w:rsidRDefault="0074604C" w:rsidP="0074604C">
      <w:pPr>
        <w:widowControl w:val="0"/>
        <w:spacing w:line="240" w:lineRule="atLeast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</w:t>
      </w:r>
      <w:r w:rsidRPr="0074604C">
        <w:rPr>
          <w:rFonts w:ascii="Times New Roman" w:hAnsi="Times New Roman"/>
          <w:sz w:val="22"/>
          <w:szCs w:val="22"/>
        </w:rPr>
        <w:tab/>
      </w:r>
    </w:p>
    <w:p w:rsidR="0074604C" w:rsidRPr="0074604C" w:rsidRDefault="0074604C" w:rsidP="0074604C">
      <w:pPr>
        <w:widowControl w:val="0"/>
        <w:spacing w:line="240" w:lineRule="atLeast"/>
        <w:ind w:left="993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-  cena oferty                                   </w:t>
      </w:r>
      <w:r w:rsidR="00932893">
        <w:rPr>
          <w:rFonts w:ascii="Times New Roman" w:hAnsi="Times New Roman"/>
          <w:sz w:val="22"/>
          <w:szCs w:val="22"/>
        </w:rPr>
        <w:t xml:space="preserve">                  </w:t>
      </w:r>
      <w:r w:rsidR="00932893">
        <w:rPr>
          <w:rFonts w:ascii="Times New Roman" w:hAnsi="Times New Roman"/>
          <w:sz w:val="22"/>
          <w:szCs w:val="22"/>
        </w:rPr>
        <w:tab/>
      </w:r>
      <w:r w:rsidR="00932893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>– 88 % (max 88 pkt)</w:t>
      </w:r>
    </w:p>
    <w:p w:rsidR="0074604C" w:rsidRPr="0074604C" w:rsidRDefault="0074604C" w:rsidP="0074604C">
      <w:pPr>
        <w:pStyle w:val="Tekstpodstawowywcity3"/>
        <w:spacing w:line="240" w:lineRule="atLeast"/>
        <w:ind w:left="993" w:hanging="284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 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ab/>
        <w:t xml:space="preserve">-  okres gwarancji jakości  i rękojmi za wady na </w:t>
      </w:r>
    </w:p>
    <w:p w:rsidR="0074604C" w:rsidRPr="0074604C" w:rsidRDefault="0074604C" w:rsidP="0074604C">
      <w:pPr>
        <w:pStyle w:val="Tekstpodstawowywcity3"/>
        <w:spacing w:line="240" w:lineRule="atLeast"/>
        <w:ind w:left="993" w:hanging="284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       wykonane prace i zamontowane materiały (części)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–  12% (max 12 pkt)</w:t>
      </w:r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ceny oferty – będzie przeprowadzana wg następującego wzoru matematycznego :</w:t>
      </w:r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74604C">
      <w:pPr>
        <w:widowControl w:val="0"/>
        <w:spacing w:line="240" w:lineRule="exac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  <w:t xml:space="preserve">                                  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</w:p>
    <w:p w:rsidR="0074604C" w:rsidRPr="0074604C" w:rsidRDefault="0074604C" w:rsidP="0074604C">
      <w:pPr>
        <w:widowControl w:val="0"/>
        <w:spacing w:line="240" w:lineRule="exact"/>
        <w:ind w:left="216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P(Co) = </w:t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t xml:space="preserve">     x  88 pkt</w:t>
      </w:r>
    </w:p>
    <w:p w:rsidR="0074604C" w:rsidRPr="0074604C" w:rsidRDefault="0074604C" w:rsidP="0074604C">
      <w:pPr>
        <w:widowControl w:val="0"/>
        <w:spacing w:line="240" w:lineRule="exac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                             Co</w:t>
      </w:r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P(Co) – liczba punktów za kryterium ceny.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6,00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8,00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10,00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12,00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– suma punktów z poszczególnych kryteriów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 =  P(Co) +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Pr="00932893" w:rsidRDefault="00F5398E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32C82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902C2B">
        <w:rPr>
          <w:rFonts w:ascii="Times New Roman" w:hAnsi="Times New Roman"/>
          <w:b/>
          <w:sz w:val="22"/>
          <w:szCs w:val="22"/>
        </w:rPr>
        <w:t xml:space="preserve">mularz </w:t>
      </w:r>
      <w:r w:rsidR="00FF2600">
        <w:rPr>
          <w:rFonts w:ascii="Times New Roman" w:hAnsi="Times New Roman"/>
          <w:b/>
          <w:sz w:val="22"/>
          <w:szCs w:val="22"/>
        </w:rPr>
        <w:t>ofertowy 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AD4A7F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615A19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C0667" w:rsidRPr="002A6C4E">
        <w:rPr>
          <w:rFonts w:ascii="Times New Roman" w:hAnsi="Times New Roman"/>
          <w:b/>
          <w:sz w:val="22"/>
          <w:szCs w:val="22"/>
        </w:rPr>
        <w:t>Wypełniony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9C0667">
        <w:rPr>
          <w:rFonts w:ascii="Times New Roman" w:hAnsi="Times New Roman"/>
          <w:b/>
          <w:sz w:val="22"/>
          <w:szCs w:val="22"/>
        </w:rPr>
        <w:t xml:space="preserve"> Wypełniony i podpisany </w:t>
      </w:r>
      <w:r w:rsidR="006942E7">
        <w:rPr>
          <w:rFonts w:ascii="Times New Roman" w:hAnsi="Times New Roman"/>
          <w:b/>
          <w:sz w:val="22"/>
          <w:szCs w:val="22"/>
        </w:rPr>
        <w:t>wykaz urządzeń technicznych – załącznik nr 5.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Pr="00125C96" w:rsidRDefault="00441890" w:rsidP="00441890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8073AB" w:rsidRPr="00277760" w:rsidRDefault="008073AB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kosztowe</w:t>
      </w:r>
      <w:r w:rsidRPr="00277760">
        <w:rPr>
          <w:rFonts w:ascii="Times New Roman" w:hAnsi="Times New Roman"/>
          <w:b/>
          <w:sz w:val="22"/>
          <w:szCs w:val="22"/>
        </w:rPr>
        <w:t xml:space="preserve"> </w:t>
      </w:r>
      <w:r w:rsidR="00277760" w:rsidRPr="00277760">
        <w:rPr>
          <w:rFonts w:ascii="Times New Roman" w:hAnsi="Times New Roman"/>
          <w:b/>
          <w:sz w:val="22"/>
          <w:szCs w:val="22"/>
        </w:rPr>
        <w:t>w formularzu ofertowym muszą być uzupełnione oraz nie mogą by</w:t>
      </w:r>
      <w:r w:rsidR="00993FFE">
        <w:rPr>
          <w:rFonts w:ascii="Times New Roman" w:hAnsi="Times New Roman"/>
          <w:b/>
          <w:sz w:val="22"/>
          <w:szCs w:val="22"/>
        </w:rPr>
        <w:t>ć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4639A7" w:rsidRPr="00BE51BA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4639A7" w:rsidRPr="0050517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4639A7" w:rsidTr="004639A7">
        <w:trPr>
          <w:trHeight w:val="1975"/>
        </w:trPr>
        <w:tc>
          <w:tcPr>
            <w:tcW w:w="5231" w:type="dxa"/>
          </w:tcPr>
          <w:p w:rsidR="004639A7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lastRenderedPageBreak/>
              <w:t>Nazwa i adres Wykonawcy</w:t>
            </w:r>
          </w:p>
          <w:p w:rsidR="004639A7" w:rsidRPr="00BE51BA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4639A7" w:rsidRPr="00BE51BA" w:rsidRDefault="004639A7" w:rsidP="004639A7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4639A7" w:rsidRPr="004639A7" w:rsidRDefault="00FB6D12" w:rsidP="00FB6D12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Serwis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naprawa samochodów służbowych </w:t>
            </w: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Wojewódzkiego Ins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pektoratu Transportu Drogowego </w:t>
            </w: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we Wrocławiu</w:t>
            </w:r>
          </w:p>
        </w:tc>
      </w:tr>
    </w:tbl>
    <w:p w:rsidR="004639A7" w:rsidRPr="00F56767" w:rsidRDefault="004639A7" w:rsidP="008D7F44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4639A7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 , w którym upłynął termin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 , uchyla się od zawarcia  umowy, zamawiający może wybrać ofertę najkorzystniejszą spośród pozostałych ofert bez przeprowadzania ich ponownego badania i oceny,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Zamawiającego  ( np. wezwanie do uzupełnienia dokumentów, poprawa omyłek ) nie wpłynie na wynik prowadzonego postępowania. 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Default="00A56DDB" w:rsidP="00A56DD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639A7" w:rsidRPr="00CC6C2E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 xml:space="preserve">51-165 </w:t>
      </w:r>
      <w:r w:rsidRPr="00CC6C2E">
        <w:rPr>
          <w:rFonts w:ascii="Times New Roman" w:hAnsi="Times New Roman"/>
          <w:sz w:val="22"/>
          <w:szCs w:val="22"/>
        </w:rPr>
        <w:t xml:space="preserve">Wrocław, nie później niż </w:t>
      </w:r>
      <w:r w:rsidRPr="00CC6C2E">
        <w:rPr>
          <w:rFonts w:ascii="Times New Roman" w:hAnsi="Times New Roman"/>
          <w:b/>
          <w:sz w:val="22"/>
          <w:szCs w:val="22"/>
        </w:rPr>
        <w:t>do dnia</w:t>
      </w:r>
      <w:r w:rsidRPr="00CC6C2E">
        <w:rPr>
          <w:rFonts w:ascii="Times New Roman" w:hAnsi="Times New Roman"/>
          <w:sz w:val="22"/>
          <w:szCs w:val="22"/>
        </w:rPr>
        <w:t xml:space="preserve"> </w:t>
      </w:r>
      <w:r w:rsidR="00CC6C2E" w:rsidRPr="00CC6C2E">
        <w:rPr>
          <w:rFonts w:ascii="Times New Roman" w:hAnsi="Times New Roman"/>
          <w:b/>
          <w:sz w:val="22"/>
          <w:szCs w:val="22"/>
        </w:rPr>
        <w:t>28.02.2019</w:t>
      </w:r>
      <w:r w:rsidRPr="00CC6C2E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CC6C2E">
        <w:rPr>
          <w:rFonts w:ascii="Times New Roman" w:hAnsi="Times New Roman"/>
          <w:sz w:val="22"/>
          <w:szCs w:val="22"/>
        </w:rPr>
        <w:t xml:space="preserve"> </w:t>
      </w:r>
    </w:p>
    <w:p w:rsidR="004639A7" w:rsidRPr="00CC6C2E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>W przesłanej ofercie pocztą, 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4639A7" w:rsidRPr="00CC6C2E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4639A7" w:rsidRPr="00CC6C2E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 xml:space="preserve"> </w:t>
      </w:r>
    </w:p>
    <w:p w:rsidR="004639A7" w:rsidRPr="00CC6C2E" w:rsidRDefault="004639A7" w:rsidP="004639A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C6C2E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4639A7" w:rsidRPr="00CC6C2E" w:rsidRDefault="004639A7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C6C2E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CC6C2E" w:rsidRPr="00CC6C2E">
        <w:rPr>
          <w:rFonts w:ascii="Times New Roman" w:hAnsi="Times New Roman"/>
          <w:b/>
          <w:bCs/>
          <w:sz w:val="22"/>
          <w:szCs w:val="22"/>
        </w:rPr>
        <w:t>składania ofert: 2019-02-28</w:t>
      </w:r>
      <w:r w:rsidRPr="00CC6C2E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4639A7" w:rsidRPr="00CC6C2E" w:rsidRDefault="0043001C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C6C2E">
        <w:rPr>
          <w:rFonts w:ascii="Times New Roman" w:hAnsi="Times New Roman"/>
          <w:b/>
          <w:bCs/>
          <w:sz w:val="22"/>
          <w:szCs w:val="22"/>
        </w:rPr>
        <w:t xml:space="preserve">Termin otwarcia </w:t>
      </w:r>
      <w:r w:rsidR="00CC6C2E" w:rsidRPr="00CC6C2E">
        <w:rPr>
          <w:rFonts w:ascii="Times New Roman" w:hAnsi="Times New Roman"/>
          <w:b/>
          <w:bCs/>
          <w:sz w:val="22"/>
          <w:szCs w:val="22"/>
        </w:rPr>
        <w:t>ofert 2019-02-28</w:t>
      </w:r>
      <w:r w:rsidR="004639A7" w:rsidRPr="00CC6C2E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4639A7" w:rsidRPr="00125C96" w:rsidRDefault="004639A7" w:rsidP="004639A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639A7" w:rsidRPr="00A5570A" w:rsidRDefault="004639A7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A56DDB"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A56DDB"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 , za pomocą telefaksu lub pisemnie uważa się za złożone w terminie , jeżeli ich treść dotarła do adresata przed upływem terminu . Jeżeli zamawiający lub Wykonawcy przekazują dokumenty lub informacje , wnioski , zawiadomienia za pomocą telefaksu  lub droga elektroniczna , każda ze stron , na żądanie drugiej strony , niezw</w:t>
      </w:r>
      <w:r w:rsidR="00D05512">
        <w:rPr>
          <w:rFonts w:ascii="Times New Roman" w:hAnsi="Times New Roman"/>
          <w:sz w:val="22"/>
          <w:szCs w:val="22"/>
          <w:lang w:eastAsia="pl-PL"/>
        </w:rPr>
        <w:t>h</w:t>
      </w:r>
      <w:bookmarkStart w:id="5" w:name="_GoBack"/>
      <w:bookmarkEnd w:id="5"/>
      <w:r w:rsidRPr="00A5570A">
        <w:rPr>
          <w:rFonts w:ascii="Times New Roman" w:hAnsi="Times New Roman"/>
          <w:sz w:val="22"/>
          <w:szCs w:val="22"/>
          <w:lang w:eastAsia="pl-PL"/>
        </w:rPr>
        <w:t>łocznie potwierdza fakt ich otrzymania.</w:t>
      </w:r>
    </w:p>
    <w:p w:rsidR="004639A7" w:rsidRPr="00A5570A" w:rsidRDefault="00A56DDB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4639A7" w:rsidRPr="002A6C4E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udzieli wyjaśnień niezwłocznie .jeżeli wniosek o  wyjaśnienie treści zapytania ofertowego zostanie złożony na </w:t>
      </w:r>
      <w:r w:rsidR="005F45CE">
        <w:rPr>
          <w:rFonts w:ascii="Times New Roman" w:hAnsi="Times New Roman"/>
          <w:sz w:val="22"/>
          <w:szCs w:val="22"/>
          <w:lang w:eastAsia="pl-PL"/>
        </w:rPr>
        <w:t>trzy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4639A7" w:rsidRPr="00A5570A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 wraz z wyjaśnieniami . zamawiający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4639A7" w:rsidRPr="003127D1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ostanie przekazana </w:t>
      </w:r>
      <w:r w:rsidR="00A56DDB">
        <w:rPr>
          <w:rFonts w:ascii="Times New Roman" w:hAnsi="Times New Roman"/>
          <w:sz w:val="22"/>
          <w:szCs w:val="22"/>
          <w:lang w:eastAsia="pl-PL"/>
        </w:rPr>
        <w:lastRenderedPageBreak/>
        <w:t>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 w:rsidR="00A56DD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4639A7" w:rsidRPr="004639A7" w:rsidRDefault="004639A7" w:rsidP="004639A7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="00C37296" w:rsidRPr="00E47369">
        <w:rPr>
          <w:rFonts w:ascii="Times New Roman" w:hAnsi="Times New Roman"/>
          <w:b/>
          <w:sz w:val="22"/>
          <w:szCs w:val="22"/>
        </w:rPr>
        <w:t>WAT.272.2.021.087.2019.OP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>.1 F</w:t>
      </w:r>
      <w:r w:rsidR="00FB6D12" w:rsidRPr="002A6C4E">
        <w:rPr>
          <w:rFonts w:ascii="Times New Roman" w:hAnsi="Times New Roman"/>
          <w:b/>
          <w:sz w:val="22"/>
          <w:szCs w:val="22"/>
        </w:rPr>
        <w:t>or</w:t>
      </w:r>
      <w:r w:rsidR="00FB6D12">
        <w:rPr>
          <w:rFonts w:ascii="Times New Roman" w:hAnsi="Times New Roman"/>
          <w:b/>
          <w:sz w:val="22"/>
          <w:szCs w:val="22"/>
        </w:rPr>
        <w:t>mularz ofertowy 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11.5 Wykaz urządzeń technicznych – załącznik nr 5.</w:t>
      </w: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C5" w:rsidRDefault="00AF02C5" w:rsidP="00845E7C">
      <w:pPr>
        <w:spacing w:before="0" w:after="0" w:line="240" w:lineRule="auto"/>
      </w:pPr>
      <w:r>
        <w:separator/>
      </w:r>
    </w:p>
  </w:endnote>
  <w:endnote w:type="continuationSeparator" w:id="0">
    <w:p w:rsidR="00AF02C5" w:rsidRDefault="00AF02C5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62">
          <w:rPr>
            <w:noProof/>
          </w:rPr>
          <w:t>10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C5" w:rsidRDefault="00AF02C5" w:rsidP="00845E7C">
      <w:pPr>
        <w:spacing w:before="0" w:after="0" w:line="240" w:lineRule="auto"/>
      </w:pPr>
      <w:r>
        <w:separator/>
      </w:r>
    </w:p>
  </w:footnote>
  <w:footnote w:type="continuationSeparator" w:id="0">
    <w:p w:rsidR="00AF02C5" w:rsidRDefault="00AF02C5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7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  <w:lvlOverride w:ilvl="0">
      <w:startOverride w:val="1"/>
    </w:lvlOverride>
  </w:num>
  <w:num w:numId="3">
    <w:abstractNumId w:val="48"/>
  </w:num>
  <w:num w:numId="4">
    <w:abstractNumId w:val="40"/>
  </w:num>
  <w:num w:numId="5">
    <w:abstractNumId w:val="43"/>
  </w:num>
  <w:num w:numId="6">
    <w:abstractNumId w:val="39"/>
  </w:num>
  <w:num w:numId="7">
    <w:abstractNumId w:val="34"/>
  </w:num>
  <w:num w:numId="8">
    <w:abstractNumId w:val="14"/>
  </w:num>
  <w:num w:numId="9">
    <w:abstractNumId w:val="26"/>
  </w:num>
  <w:num w:numId="10">
    <w:abstractNumId w:val="44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1"/>
  </w:num>
  <w:num w:numId="19">
    <w:abstractNumId w:val="36"/>
  </w:num>
  <w:num w:numId="20">
    <w:abstractNumId w:val="17"/>
  </w:num>
  <w:num w:numId="21">
    <w:abstractNumId w:val="22"/>
  </w:num>
  <w:num w:numId="22">
    <w:abstractNumId w:val="10"/>
  </w:num>
  <w:num w:numId="23">
    <w:abstractNumId w:val="9"/>
  </w:num>
  <w:num w:numId="24">
    <w:abstractNumId w:val="38"/>
  </w:num>
  <w:num w:numId="25">
    <w:abstractNumId w:val="23"/>
  </w:num>
  <w:num w:numId="26">
    <w:abstractNumId w:val="20"/>
  </w:num>
  <w:num w:numId="27">
    <w:abstractNumId w:val="31"/>
  </w:num>
  <w:num w:numId="28">
    <w:abstractNumId w:val="46"/>
  </w:num>
  <w:num w:numId="29">
    <w:abstractNumId w:val="47"/>
  </w:num>
  <w:num w:numId="30">
    <w:abstractNumId w:val="37"/>
  </w:num>
  <w:num w:numId="31">
    <w:abstractNumId w:val="27"/>
  </w:num>
  <w:num w:numId="32">
    <w:abstractNumId w:val="28"/>
  </w:num>
  <w:num w:numId="33">
    <w:abstractNumId w:val="29"/>
  </w:num>
  <w:num w:numId="34">
    <w:abstractNumId w:val="25"/>
  </w:num>
  <w:num w:numId="35">
    <w:abstractNumId w:val="41"/>
  </w:num>
  <w:num w:numId="36">
    <w:abstractNumId w:val="45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3564"/>
    <w:rsid w:val="001D63DB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20D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44E70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2B93"/>
    <w:rsid w:val="00993FFE"/>
    <w:rsid w:val="00995883"/>
    <w:rsid w:val="009A1176"/>
    <w:rsid w:val="009A1512"/>
    <w:rsid w:val="009A2FE7"/>
    <w:rsid w:val="009A3787"/>
    <w:rsid w:val="009A6BA5"/>
    <w:rsid w:val="009B14C1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941"/>
    <w:rsid w:val="009E7316"/>
    <w:rsid w:val="009E736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272C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33E4-9D6C-47A1-8208-B5765877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54</cp:revision>
  <cp:lastPrinted>2015-07-29T07:40:00Z</cp:lastPrinted>
  <dcterms:created xsi:type="dcterms:W3CDTF">2016-02-22T08:50:00Z</dcterms:created>
  <dcterms:modified xsi:type="dcterms:W3CDTF">2019-02-22T11:04:00Z</dcterms:modified>
</cp:coreProperties>
</file>